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7" w:rsidRPr="00305EE9" w:rsidRDefault="00C85A07" w:rsidP="00C85A0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C85A07" w:rsidRPr="00305EE9" w:rsidRDefault="00C85A07" w:rsidP="00C85A0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C85A07" w:rsidRPr="00305EE9" w:rsidRDefault="00C85A07" w:rsidP="00C85A0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30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30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C85A07" w:rsidRPr="00305EE9" w:rsidRDefault="00C85A07" w:rsidP="00C85A0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268"/>
        <w:gridCol w:w="4196"/>
      </w:tblGrid>
      <w:tr w:rsidR="00C85A07" w:rsidRPr="00305EE9" w:rsidTr="00305EE9">
        <w:trPr>
          <w:trHeight w:val="2252"/>
        </w:trPr>
        <w:tc>
          <w:tcPr>
            <w:tcW w:w="5268" w:type="dxa"/>
          </w:tcPr>
          <w:p w:rsidR="00C85A07" w:rsidRPr="00305EE9" w:rsidRDefault="00C85A07" w:rsidP="008718C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C85A07" w:rsidRPr="00305EE9" w:rsidRDefault="00C85A07" w:rsidP="008718C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85A07" w:rsidRPr="00305EE9" w:rsidRDefault="00C85A07" w:rsidP="008718C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C85A07" w:rsidRPr="00305EE9" w:rsidRDefault="00C85A07" w:rsidP="008718C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A07" w:rsidRPr="00EE7DFE" w:rsidRDefault="00C85A07" w:rsidP="008718C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33127" w:rsidRPr="00EE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5A07" w:rsidRPr="00305EE9" w:rsidRDefault="00C85A07" w:rsidP="0007651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0DD4"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20DD4"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96" w:type="dxa"/>
          </w:tcPr>
          <w:p w:rsidR="00C85A07" w:rsidRPr="00305EE9" w:rsidRDefault="00C85A07" w:rsidP="008718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C85A07" w:rsidRPr="00305EE9" w:rsidRDefault="00C85A07" w:rsidP="008718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ЧУОО ВО «</w:t>
            </w:r>
            <w:proofErr w:type="spellStart"/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A07" w:rsidRPr="00305EE9" w:rsidRDefault="00C85A07" w:rsidP="008718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E20DD4" w:rsidRPr="00EE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5A07" w:rsidRPr="00305EE9" w:rsidRDefault="00C85A07" w:rsidP="008718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85A07" w:rsidRPr="00305EE9" w:rsidRDefault="00C85A07" w:rsidP="008718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C85A07" w:rsidRPr="00305EE9" w:rsidRDefault="00C85A07" w:rsidP="008718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E9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C85A07" w:rsidRPr="00305EE9" w:rsidRDefault="00C85A07" w:rsidP="00EE7D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E7DF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7651C" w:rsidRPr="00EE7DFE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85A07" w:rsidRPr="00305EE9" w:rsidRDefault="00C85A07" w:rsidP="00C85A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97" w:rsidRPr="00305EE9" w:rsidRDefault="00520997">
      <w:pPr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>
      <w:pPr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>
      <w:pPr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E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C85A07" w:rsidRPr="00305EE9" w:rsidRDefault="00305EE9" w:rsidP="00C8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E9">
        <w:rPr>
          <w:rFonts w:ascii="Times New Roman" w:hAnsi="Times New Roman" w:cs="Times New Roman"/>
          <w:b/>
          <w:sz w:val="28"/>
          <w:szCs w:val="28"/>
        </w:rPr>
        <w:t>на 2022</w:t>
      </w:r>
      <w:r w:rsidR="00C85A07" w:rsidRPr="00305EE9">
        <w:rPr>
          <w:rFonts w:ascii="Times New Roman" w:hAnsi="Times New Roman" w:cs="Times New Roman"/>
          <w:b/>
          <w:sz w:val="28"/>
          <w:szCs w:val="28"/>
        </w:rPr>
        <w:t>-</w:t>
      </w:r>
      <w:r w:rsidR="008A0B96" w:rsidRPr="00305EE9">
        <w:rPr>
          <w:rFonts w:ascii="Times New Roman" w:hAnsi="Times New Roman" w:cs="Times New Roman"/>
          <w:b/>
          <w:sz w:val="28"/>
          <w:szCs w:val="28"/>
        </w:rPr>
        <w:t>20</w:t>
      </w:r>
      <w:r w:rsidRPr="00305EE9">
        <w:rPr>
          <w:rFonts w:ascii="Times New Roman" w:hAnsi="Times New Roman" w:cs="Times New Roman"/>
          <w:b/>
          <w:sz w:val="28"/>
          <w:szCs w:val="28"/>
        </w:rPr>
        <w:t>23</w:t>
      </w:r>
      <w:r w:rsidR="00C85A07" w:rsidRPr="00305E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C85A07" w:rsidP="00C8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07" w:rsidRPr="00305EE9" w:rsidRDefault="008C4241" w:rsidP="00C85A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2022</w:t>
      </w:r>
    </w:p>
    <w:p w:rsidR="00E20DD4" w:rsidRPr="00305EE9" w:rsidRDefault="00E20DD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5E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EE9" w:rsidRPr="009465F9" w:rsidRDefault="00305EE9" w:rsidP="009465F9">
      <w:pPr>
        <w:pStyle w:val="a3"/>
        <w:widowControl w:val="0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Анализ итог</w:t>
      </w:r>
      <w:r w:rsidR="000B7D80" w:rsidRPr="0094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 воспитательной </w:t>
      </w:r>
      <w:r w:rsidR="00F07DAD" w:rsidRPr="0094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за 2021-2022</w:t>
      </w:r>
      <w:r w:rsidRPr="0094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465F9" w:rsidRPr="009465F9" w:rsidRDefault="009465F9" w:rsidP="009465F9">
      <w:pPr>
        <w:pStyle w:val="a3"/>
        <w:widowControl w:val="0"/>
        <w:spacing w:after="0" w:line="36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EE9" w:rsidRPr="00305EE9" w:rsidRDefault="00305EE9" w:rsidP="00305E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305EE9" w:rsidRPr="00305EE9" w:rsidRDefault="00305EE9" w:rsidP="00305EE9">
      <w:pPr>
        <w:tabs>
          <w:tab w:val="left" w:pos="0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proofErr w:type="gramEnd"/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принятых </w:t>
      </w:r>
      <w:proofErr w:type="spellStart"/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</w:t>
      </w:r>
    </w:p>
    <w:p w:rsidR="00305EE9" w:rsidRPr="00305EE9" w:rsidRDefault="00305EE9" w:rsidP="00305EE9">
      <w:pPr>
        <w:tabs>
          <w:tab w:val="left" w:pos="0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воспитательной работы 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305EE9" w:rsidRPr="00305EE9" w:rsidRDefault="00305EE9" w:rsidP="00305EE9">
      <w:pPr>
        <w:tabs>
          <w:tab w:val="left" w:pos="0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</w:t>
      </w:r>
      <w:proofErr w:type="spellStart"/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305EE9" w:rsidRPr="00305EE9" w:rsidRDefault="008C4241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2021-22</w:t>
      </w:r>
      <w:r w:rsidR="00305EE9" w:rsidRPr="00305EE9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и организация воспитательной деятельности выстраивалась на основе рабочей программы </w:t>
      </w:r>
      <w:r w:rsidR="00305EE9" w:rsidRPr="00305EE9">
        <w:rPr>
          <w:rFonts w:ascii="Times New Roman" w:hAnsi="Times New Roman" w:cs="Times New Roman"/>
          <w:sz w:val="28"/>
          <w:szCs w:val="28"/>
        </w:rPr>
        <w:lastRenderedPageBreak/>
        <w:t>воспитания, разработанной н</w:t>
      </w:r>
      <w:r>
        <w:rPr>
          <w:rFonts w:ascii="Times New Roman" w:hAnsi="Times New Roman" w:cs="Times New Roman"/>
          <w:sz w:val="28"/>
          <w:szCs w:val="28"/>
        </w:rPr>
        <w:t>а период до 2021</w:t>
      </w:r>
      <w:r w:rsidR="00305EE9" w:rsidRPr="00305EE9">
        <w:rPr>
          <w:rFonts w:ascii="Times New Roman" w:hAnsi="Times New Roman" w:cs="Times New Roman"/>
          <w:sz w:val="28"/>
          <w:szCs w:val="28"/>
        </w:rPr>
        <w:t xml:space="preserve"> года и являющейся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процесса. План мероприятий на учебный год был разработан с учетом требований, направленных на нераспространение новой </w:t>
      </w:r>
      <w:proofErr w:type="spellStart"/>
      <w:r w:rsidR="00305EE9" w:rsidRPr="00305E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5EE9" w:rsidRPr="00305EE9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="00305EE9" w:rsidRPr="00305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EE9"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EE9" w:rsidRPr="00305E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05EE9" w:rsidRPr="00305EE9">
        <w:rPr>
          <w:rFonts w:ascii="Times New Roman" w:hAnsi="Times New Roman" w:cs="Times New Roman"/>
          <w:sz w:val="28"/>
          <w:szCs w:val="28"/>
        </w:rPr>
        <w:t xml:space="preserve">ероприятия </w:t>
      </w:r>
      <w:proofErr w:type="spellStart"/>
      <w:r w:rsidR="00305EE9" w:rsidRPr="00305EE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305EE9" w:rsidRPr="00305EE9">
        <w:rPr>
          <w:rFonts w:ascii="Times New Roman" w:hAnsi="Times New Roman" w:cs="Times New Roman"/>
          <w:sz w:val="28"/>
          <w:szCs w:val="28"/>
        </w:rPr>
        <w:t xml:space="preserve"> проводились с ограничительными мерами. Кроме того, в план экстренно включались мероприятия в рамках стратегии </w:t>
      </w:r>
      <w:r w:rsidR="00305EE9" w:rsidRPr="00305E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молодежной политики РФ.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Воспитательная работа в академии выделена в качестве одного из приоритетных направлений деятельности и является неотъемлемой частью процесса подготовки студентов. Приоритетами воспитательной и социальной работы в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</w:t>
      </w:r>
      <w:r w:rsidRPr="00305EE9">
        <w:rPr>
          <w:rFonts w:ascii="Times New Roman" w:hAnsi="Times New Roman" w:cs="Times New Roman"/>
          <w:sz w:val="28"/>
          <w:szCs w:val="28"/>
        </w:rPr>
        <w:tab/>
        <w:t>формирование у студенческой молодежи активной гражданской позиции, патриотического сознания, толерантности, правовой и политической культуры;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</w:t>
      </w:r>
      <w:r w:rsidRPr="00305EE9">
        <w:rPr>
          <w:rFonts w:ascii="Times New Roman" w:hAnsi="Times New Roman" w:cs="Times New Roman"/>
          <w:sz w:val="28"/>
          <w:szCs w:val="28"/>
        </w:rPr>
        <w:tab/>
        <w:t>развитие и совершенствование умений и навыков управления коллективом в различных формах студенческого самоуправления;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</w:t>
      </w:r>
      <w:r w:rsidRPr="00305EE9">
        <w:rPr>
          <w:rFonts w:ascii="Times New Roman" w:hAnsi="Times New Roman" w:cs="Times New Roman"/>
          <w:sz w:val="28"/>
          <w:szCs w:val="28"/>
        </w:rPr>
        <w:tab/>
        <w:t xml:space="preserve">организация межвузовского и межведомственного взаимодействия в сфере воспитательной и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</w:t>
      </w:r>
      <w:r w:rsidRPr="00305EE9">
        <w:rPr>
          <w:rFonts w:ascii="Times New Roman" w:hAnsi="Times New Roman" w:cs="Times New Roman"/>
          <w:sz w:val="28"/>
          <w:szCs w:val="28"/>
        </w:rPr>
        <w:tab/>
        <w:t>воспитание инновационного потенциала студентов в интересах развития общества и молодежи;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</w:t>
      </w:r>
      <w:r w:rsidRPr="00305EE9">
        <w:rPr>
          <w:rFonts w:ascii="Times New Roman" w:hAnsi="Times New Roman" w:cs="Times New Roman"/>
          <w:sz w:val="28"/>
          <w:szCs w:val="28"/>
        </w:rPr>
        <w:tab/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</w:t>
      </w:r>
      <w:r w:rsidRPr="00305EE9">
        <w:rPr>
          <w:rFonts w:ascii="Times New Roman" w:hAnsi="Times New Roman" w:cs="Times New Roman"/>
          <w:sz w:val="28"/>
          <w:szCs w:val="28"/>
        </w:rPr>
        <w:tab/>
        <w:t>укрепление физического состояния студентов, стремления к здоровому образу жизни, воспитание нетерпимого отношения к антиобщественному поведению.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рассматривается как система взаимосвязанных воспитательных мероприятий, адекватных поставленным </w:t>
      </w:r>
      <w:r w:rsidRPr="00305EE9">
        <w:rPr>
          <w:rFonts w:ascii="Times New Roman" w:hAnsi="Times New Roman" w:cs="Times New Roman"/>
          <w:sz w:val="28"/>
          <w:szCs w:val="28"/>
        </w:rPr>
        <w:lastRenderedPageBreak/>
        <w:t>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работы по всем направлениям. Воспитательная работа реализуется через: учебную деятельность,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деятельность, деятельность органов студенческого самоуправления и волонтерское движение.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развития системы воспитательной работы в ЧУОО ВО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Управление воспитательной работой осуществляется на уровнях: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− административно-управленческий (официальный):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возлагается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прежде всего на куратора студенческой группы (оказание психологической помощи, уменьшение сроков адаптации к </w:t>
      </w:r>
      <w:r w:rsidRPr="00305EE9">
        <w:rPr>
          <w:rFonts w:ascii="Times New Roman" w:hAnsi="Times New Roman" w:cs="Times New Roman"/>
          <w:sz w:val="28"/>
          <w:szCs w:val="28"/>
        </w:rPr>
        <w:lastRenderedPageBreak/>
        <w:t>учебе и к жизни в академии, вовлечение студента в «силовое поле» культуры в вузе).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Воспитательная работа осуществлялась по направлениям, определенным рабочей программой воспитания.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В рамках направления гражданского воспитания деканатом социально-экономического факультета дневной формы обучения совместно с кафедрами проведены мероприятия: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«День знаний», посвящение в студенты, акция «Первокурсник» (встречи с представителями медицинских организаций, службы занятости), конкурс эссе и дискуссионная площадка «Права и свободы человека в цифровой реальности: правовой и нравственный аспект», участие в семинаре для молодых европейских журналистов «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Crises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(Репортаж в кризисных ситуациях и кризисная отчетность)», социальный проект по правовой грамотности «День Конституции РФ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>», круглый стол «Конституция РФ в контексте развития страны», дискуссии о роли Дня народного единства в становлении российской государственности, тренинги «Командная работа и сотрудничество»; оформлена выставка книг, журналов, газет в библиотеке на тему «Россия против экстремизма и терроризма». Организован научно-практический семинар «Механизмы реализации прав и дополнительных социальных гарантий отдельных категорий обучающихся (дети-инвалиды)». Проведена беседа за круглым столом на тему «Молодая семья – основа стабильного развития региона».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По направлению «Патриотическое воспитание»: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 проведен фотоконкурс «Россия – Великая страна»;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- организованы встречи студентов с Героями России, экскурсии в Музей боевой славы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омичей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, Историко-краеведческий музей, по местам боевой и трудовой славы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омичей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- прочитана лекция «День Победы – праздник всей России»; 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 организованы акции «Эстафета Памяти», «Голос победы», «Бессмертный полк академии»;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lastRenderedPageBreak/>
        <w:t>- оформлен стенд «Журавли».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Кафедрой педагогики, психологии и социальной работы совместно с этнокультурным лицеем проведена ставшая уже традиционной конференция школ г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>мска, посвященная победе в Великой отечественной войне.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Направление работы по духовно-нравственному воспитанию реализовано через ряд мероприятий, среди которых: встреча обучающихся с представителями ОРОО «Объединенное Казачество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»; социологические опросы и круглый стол по основам православной и исламской культурам; участие в акции «Есенинский диктант», участие студентов в литературном фестивале «Откровение»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>. Омск.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Кафедрой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ПпиСР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 проведено исследование «Ценностные ориентации студентов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», составлены «Карты личности». Организованы беседы со студентами: «Ценность человеческой жизни», «Цели и смысл жизни». Проведены тренинги по формированию лидерских качеств, обеспечению эффективности межличностных отношений, тренинг партнерского общения; психологические тренинги «Личностный рост», «Разрешение конфликтных ситуаций»; - состоялась беседа «Конфликты: благо или вред» (кафедра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).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организована посредством клубной работы. Ярким представителем этого направления стала деятельность Историко-философского общества под руководством д.и.н.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Н.В.Грекова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. Отличительной особенностью заседаний общества стало то, что они не являются формой дополнительных занятий по учебным дисциплинам или абстрактной дискуссионной площадкой, а носят характер творческой лаборатории, в которой в процессе активной интеллектуальной деятельности участники формируют собственную аргументированную точку зрения на глобальные проблемы, веками волнующими человечество. Количество участников варьируется; в работе общества принимали участие студенты </w:t>
      </w:r>
      <w:r w:rsidRPr="00305EE9">
        <w:rPr>
          <w:rFonts w:ascii="Times New Roman" w:hAnsi="Times New Roman" w:cs="Times New Roman"/>
          <w:sz w:val="28"/>
          <w:szCs w:val="28"/>
        </w:rPr>
        <w:lastRenderedPageBreak/>
        <w:t>технического университета. В перспективе формируется межвузовский характер работы общества.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Содействие культурно-творческому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воспитанию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безусловно оказала государственная акция «Пушкинская карта»: посещены 15 музейных выставок и 19 спектаклей.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Еще одно значимое направление воспитательной работы – Научно-образовательное воспитание.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 xml:space="preserve">Проведены конкурс по правовой грамотности «День Конституции РФ» со студентами 1 и 2 курсов и разработка плакатов к празднику; круглые столы «Информационные технологии в современном обществе» и «Развитие науки, её роль в становлении экономики», участие студентов-филологов и журналистов в IX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Медиаобразовательном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форуме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ImPRO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и X Международном форуме «ИННОСИБ»; проведены экономический и географический диктанты;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отмечено активное участие студентов в недел</w:t>
      </w:r>
      <w:r w:rsidR="008C4241">
        <w:rPr>
          <w:rFonts w:ascii="Times New Roman" w:hAnsi="Times New Roman" w:cs="Times New Roman"/>
          <w:sz w:val="28"/>
          <w:szCs w:val="28"/>
        </w:rPr>
        <w:t>е науки «Студенческая весна 2021</w:t>
      </w:r>
      <w:r w:rsidRPr="00305EE9">
        <w:rPr>
          <w:rFonts w:ascii="Times New Roman" w:hAnsi="Times New Roman" w:cs="Times New Roman"/>
          <w:sz w:val="28"/>
          <w:szCs w:val="28"/>
        </w:rPr>
        <w:t>». Перспективным представляется проведение педагогической (вожатской) практики студентов направления подготовки «Филология» в летней выездной школе НОУ «Поиск» не только в плане воспитательной, научно-образовательной, но и профориентационной работы.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Пожалуй, самым результативным стало направление воспитательной работы Профессионально-трудовое воспитание. Все кафедры активно включают воспитательные аспекты в учебные дисциплины, проводят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 xml:space="preserve">Среди наиболее интересных –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«Сложные переговоры с партнёрами и контрагентами: как противостоять манипуляциям, убеждать и оказывать влияние», организованный доцентами С.М.Ильченко и Н.О.Герасимовой в рамках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стартап-школы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» на базе КУ г. Омска «Центр поддержки предпринимательства»;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открытый урок «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Равнодневка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» по дисциплине «Экономика средств массовой коммуникации»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онкурс кроссвордов по дисциплине «Маркетинг», конкурс рекламных буклетов ко Дню рекламы, конкурс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«День кадрового работника России», участие студентов во всероссийской олимпиаде «Я – </w:t>
      </w:r>
      <w:r w:rsidRPr="00305EE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профессионал»; встречи обучающихся с представителями кадровых служб города Омска. 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Направление Экологическое воспитание: проведены акция «Чистый город»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>онкурс листовок, семинар «Экологическая проза»; организовано участие в общественных слушаниях по экологической безопасности и в декаде экологии (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).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Активная работа в течение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проводилась по направлению Физкультурно-оздоровительное воспитание. Проведено анкетирование обучающихся об их отношении к употреблению наркотических средств и психотропных веществ, алкогольных напитков. Данные опроса использовались для организации лекций, оформления стенда с периодическим обновлением информации. Были организованы инструктажи о правилах безопасного поведения и соблюдения требований безопасности и охраны труда в ЧУОО ВО «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», беседы «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места в академии»; «Безопасность – это важно».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Представителями Омского областного центра социально-психологической помощи несовершеннолетним и молодежи проведены профилактические беседы с обучающимися на темы «Мой щит от наркомании», «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– территория, свободная от алкоголя», «Ответственный выбор сегодня – здоровая и счастливая семья завтра», семинар «Оказание медицинской и психологической помощи от территориального центра медицины катастроф».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Проведена акция «За здоровый образ жизни» (профилактика ВИЧ-инфекции,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, употребления алкоголя, наркотиков), профилактическое мероприятие, посвященное Всемирному дню здоровья «Диалоги о здоровье».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Большая работа проводится кафедрой политологии, социально-гуманитарных дисциплин и иностранных языков. В открытых спортивных турнирах, организуемых академией, участвуют команды университетов Омска; организована и проведена десятая студенческая спартакиада «Здоровье молодежи – богатство России», в рамках которой прошли соревнования по гиревому спорту, легкой атлетике, шахматам, волейболу. </w:t>
      </w:r>
      <w:r w:rsidRPr="00305EE9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открытые осенние и весенние турниры по мини-футболу, волейболу,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>, бадминтону. Информация о прошедших соревнованиях и спортивно-массовых мероприятиях оперативно размещается на страницах сайта академии, организуется торжественные мероприятия по награждению и поощрению победителей соревнований.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Одним из направлений воспитательной деятельности является студенческое самоуправление. Инициатива и самостоятельность студентов в организации различных мероприятий дают им возможность приобретать навыки руководителя и развивать организационные способности. Целями Студенческого Совета является формирование гражданской культуры, активной гражданской позиции обучающихся, содействие развитию их социальной зрелости, самостоятельности, формирование у обучающихся умений и навыков самоуправления, подготовка их к компетентному и ответственному участию в жизни общества. Руководство советом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осуществляет председатель. Заседания проходят ежемесячно, носят открытый характер, и любой студент может принять участие.  Пока остается проблемой выбор лидера – председателя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и развитие инициативности членов студенческого совета.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Одним из значимых направлений воспитательной деятельности Министерство науки и высшего образования, Министерство по молодежной полите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называют добровольчество и волонтерское движение. В академии успешно действует народная дружина «Стрела», в которой участвуют 19 студентов. Еженедельно студенты – дружинники совместно </w:t>
      </w:r>
      <w:proofErr w:type="gramStart"/>
      <w:r w:rsidRPr="00305EE9">
        <w:rPr>
          <w:rFonts w:ascii="Times New Roman" w:hAnsi="Times New Roman" w:cs="Times New Roman"/>
          <w:sz w:val="28"/>
          <w:szCs w:val="28"/>
        </w:rPr>
        <w:t>с участвуют</w:t>
      </w:r>
      <w:proofErr w:type="gramEnd"/>
      <w:r w:rsidRPr="00305EE9">
        <w:rPr>
          <w:rFonts w:ascii="Times New Roman" w:hAnsi="Times New Roman" w:cs="Times New Roman"/>
          <w:sz w:val="28"/>
          <w:szCs w:val="28"/>
        </w:rPr>
        <w:t xml:space="preserve"> органами УМВД Центрального административного округа в проведении рейдов безопасности, общегородских мероприятиях. 23 студента приняли участие в организации безопасности во время Парада Победы, проведения веломарафона.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В результате анализа проведенных мероприятий, реализации деятельности по основным направлениям воспитательной работы определены перспективные точки роста: - расширение клубной работы;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</w:t>
      </w:r>
      <w:proofErr w:type="spellStart"/>
      <w:r w:rsidRPr="00305EE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05EE9">
        <w:rPr>
          <w:rFonts w:ascii="Times New Roman" w:hAnsi="Times New Roman" w:cs="Times New Roman"/>
          <w:sz w:val="28"/>
          <w:szCs w:val="28"/>
        </w:rPr>
        <w:t xml:space="preserve"> и добровольчества;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 актуализация и расширение сферы деятельности Центра карьеры;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 развитие студенческого самоуправления;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- актуализация профориентационной работы.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 xml:space="preserve">Считаем целесообразным включение воспитательной работы в индивидуальный план работы преподавателей. 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Для обсуждения практических шагов по реализации перспектив воспитательной работы предполагается провести семинар для преподавателей академии «Ценности воспитания: вчера, сегодня, завтра» в начале нового учебного года, который должен положить начало организации научно-методической конференции регионального значения по обмену опытом воспитательной работы.</w:t>
      </w:r>
    </w:p>
    <w:p w:rsidR="00305EE9" w:rsidRPr="00305EE9" w:rsidRDefault="00305EE9" w:rsidP="0030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E9">
        <w:rPr>
          <w:rFonts w:ascii="Times New Roman" w:hAnsi="Times New Roman" w:cs="Times New Roman"/>
          <w:sz w:val="28"/>
          <w:szCs w:val="28"/>
        </w:rPr>
        <w:t>Пл</w:t>
      </w:r>
      <w:r w:rsidR="008C4241">
        <w:rPr>
          <w:rFonts w:ascii="Times New Roman" w:hAnsi="Times New Roman" w:cs="Times New Roman"/>
          <w:sz w:val="28"/>
          <w:szCs w:val="28"/>
        </w:rPr>
        <w:t>ан воспитательной работы на 2022-23</w:t>
      </w:r>
      <w:r w:rsidRPr="00305EE9">
        <w:rPr>
          <w:rFonts w:ascii="Times New Roman" w:hAnsi="Times New Roman" w:cs="Times New Roman"/>
          <w:sz w:val="28"/>
          <w:szCs w:val="28"/>
        </w:rPr>
        <w:t xml:space="preserve"> учебный год кафедрами должен </w:t>
      </w:r>
      <w:r w:rsidR="00BB2671">
        <w:rPr>
          <w:rFonts w:ascii="Times New Roman" w:hAnsi="Times New Roman" w:cs="Times New Roman"/>
          <w:sz w:val="28"/>
          <w:szCs w:val="28"/>
        </w:rPr>
        <w:t>быть представлен до 30 июня 2022</w:t>
      </w:r>
      <w:r w:rsidRPr="00305E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5EE9" w:rsidRPr="00305EE9" w:rsidRDefault="00305EE9" w:rsidP="0030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85A07" w:rsidRPr="00305EE9" w:rsidRDefault="00C85A07" w:rsidP="00C8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85A07" w:rsidRPr="00305EE9" w:rsidSect="00520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53" w:rsidRPr="00074E32" w:rsidRDefault="008D7953" w:rsidP="008D7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32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событий и мероприятий воспитательной направленности</w:t>
      </w:r>
    </w:p>
    <w:p w:rsidR="008D7953" w:rsidRDefault="008D7953" w:rsidP="008D7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2022-23</w:t>
      </w:r>
      <w:r w:rsidRPr="00074E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7953" w:rsidRDefault="008D7953" w:rsidP="008D7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53" w:rsidRPr="004C50B9" w:rsidRDefault="008D7953" w:rsidP="004C50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E32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январь 2023</w:t>
      </w:r>
    </w:p>
    <w:tbl>
      <w:tblPr>
        <w:tblStyle w:val="a4"/>
        <w:tblpPr w:leftFromText="180" w:rightFromText="180" w:vertAnchor="text" w:horzAnchor="margin" w:tblpX="-176" w:tblpY="698"/>
        <w:tblW w:w="16019" w:type="dxa"/>
        <w:tblLook w:val="04A0"/>
      </w:tblPr>
      <w:tblGrid>
        <w:gridCol w:w="3603"/>
        <w:gridCol w:w="1979"/>
        <w:gridCol w:w="4380"/>
        <w:gridCol w:w="3108"/>
        <w:gridCol w:w="2949"/>
      </w:tblGrid>
      <w:tr w:rsidR="008D7953" w:rsidRPr="002F598F" w:rsidTr="004C50B9">
        <w:trPr>
          <w:trHeight w:val="971"/>
        </w:trPr>
        <w:tc>
          <w:tcPr>
            <w:tcW w:w="3603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79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80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D7953" w:rsidRPr="002F598F" w:rsidTr="004C50B9">
        <w:trPr>
          <w:trHeight w:val="503"/>
        </w:trPr>
        <w:tc>
          <w:tcPr>
            <w:tcW w:w="3603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79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0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работодателя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469"/>
        </w:trPr>
        <w:tc>
          <w:tcPr>
            <w:tcW w:w="3603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79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0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</w:t>
            </w:r>
          </w:p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« Герменевтический анализ современных художественных фильмов»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D7953" w:rsidRPr="002F598F" w:rsidRDefault="00DB0A60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D7953" w:rsidRPr="002F598F">
                <w:rPr>
                  <w:rFonts w:ascii="Times New Roman" w:hAnsi="Times New Roman" w:cs="Times New Roman"/>
                  <w:sz w:val="24"/>
                  <w:szCs w:val="24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D7953" w:rsidRPr="002F598F" w:rsidTr="004C50B9">
        <w:trPr>
          <w:trHeight w:val="469"/>
        </w:trPr>
        <w:tc>
          <w:tcPr>
            <w:tcW w:w="3603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979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0" w:type="dxa"/>
          </w:tcPr>
          <w:p w:rsidR="008D7953" w:rsidRPr="002F598F" w:rsidRDefault="008D7953" w:rsidP="004C50B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469"/>
        </w:trPr>
        <w:tc>
          <w:tcPr>
            <w:tcW w:w="3603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79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0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D7953" w:rsidRPr="002F598F" w:rsidRDefault="00DB0A60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D7953" w:rsidRPr="002F598F">
                <w:rPr>
                  <w:rFonts w:ascii="Times New Roman" w:hAnsi="Times New Roman" w:cs="Times New Roman"/>
                  <w:sz w:val="24"/>
                  <w:szCs w:val="24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D7953" w:rsidRPr="002F598F" w:rsidTr="004C50B9">
        <w:trPr>
          <w:trHeight w:val="469"/>
        </w:trPr>
        <w:tc>
          <w:tcPr>
            <w:tcW w:w="3603" w:type="dxa"/>
            <w:vAlign w:val="center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79" w:type="dxa"/>
            <w:vAlign w:val="center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0" w:type="dxa"/>
            <w:vAlign w:val="center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Диспут по теме: Этика поведения и этикет» со студентами </w:t>
            </w: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сихологами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психологии, педагогики и социальной работы  (Савченко Т.В.)</w:t>
            </w:r>
          </w:p>
        </w:tc>
      </w:tr>
      <w:tr w:rsidR="008D7953" w:rsidRPr="002F598F" w:rsidTr="004C50B9">
        <w:trPr>
          <w:trHeight w:val="469"/>
        </w:trPr>
        <w:tc>
          <w:tcPr>
            <w:tcW w:w="3603" w:type="dxa"/>
            <w:vAlign w:val="center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79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0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«Особенности разработки бизнес-планов на практике»</w:t>
            </w:r>
          </w:p>
        </w:tc>
        <w:tc>
          <w:tcPr>
            <w:tcW w:w="3108" w:type="dxa"/>
          </w:tcPr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4C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8D7953" w:rsidRPr="002F598F" w:rsidRDefault="008D7953" w:rsidP="004C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</w:tbl>
    <w:p w:rsidR="008D7953" w:rsidRPr="002F598F" w:rsidRDefault="008D7953" w:rsidP="008D7953">
      <w:pPr>
        <w:pageBreakBefore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на февраль 2023 г.</w:t>
      </w:r>
    </w:p>
    <w:tbl>
      <w:tblPr>
        <w:tblStyle w:val="a4"/>
        <w:tblW w:w="16019" w:type="dxa"/>
        <w:tblInd w:w="-176" w:type="dxa"/>
        <w:tblLook w:val="04A0"/>
      </w:tblPr>
      <w:tblGrid>
        <w:gridCol w:w="3261"/>
        <w:gridCol w:w="1985"/>
        <w:gridCol w:w="4394"/>
        <w:gridCol w:w="3118"/>
        <w:gridCol w:w="3261"/>
      </w:tblGrid>
      <w:tr w:rsidR="008D7953" w:rsidRPr="002F598F" w:rsidTr="004C50B9">
        <w:trPr>
          <w:trHeight w:val="978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Международная студенческая научная конференция Студенческий научный форум - 2023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с 15 февраля 2022 года по 30 июня 2022 года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школьников и студентов «История семьи – история Отечества»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D7953" w:rsidRPr="002F5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«Развитие науки, её роль в становлении экономики»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F07C2B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985" w:type="dxa"/>
          </w:tcPr>
          <w:p w:rsidR="008D7953" w:rsidRPr="00F07C2B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394" w:type="dxa"/>
          </w:tcPr>
          <w:p w:rsidR="008D7953" w:rsidRPr="00F07C2B" w:rsidRDefault="008D7953" w:rsidP="001501D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8D7953" w:rsidRPr="00F07C2B" w:rsidRDefault="008D7953" w:rsidP="001501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 государство: актуальные вопросы взаимоотношений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D7953" w:rsidRPr="00F07C2B" w:rsidRDefault="008D7953" w:rsidP="001501D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8D7953" w:rsidRPr="00F07C2B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Default="008D7953" w:rsidP="001501DE">
            <w:pPr>
              <w:jc w:val="center"/>
            </w:pPr>
            <w:r w:rsidRPr="00BA022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стол: «Имидж педагога: нравственность, этика, </w:t>
            </w: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студентов 1 курса  направления «Педагогическое образование»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психологии, педагогики и социальной работы</w:t>
            </w:r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«Россия, в которой мне хотелось бы жить»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Конкурс (видеоролики)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DB0A60" w:rsidP="001501DE">
            <w:pPr>
              <w:pStyle w:val="a8"/>
              <w:jc w:val="center"/>
              <w:rPr>
                <w:color w:val="1C1C1C"/>
              </w:rPr>
            </w:pPr>
            <w:hyperlink r:id="rId8" w:tgtFrame="_blank" w:history="1">
              <w:r w:rsidR="008D7953" w:rsidRPr="002F598F">
                <w:rPr>
                  <w:rFonts w:eastAsiaTheme="minorEastAsia"/>
                </w:rPr>
                <w:t>Кафедра управления, политики и права</w:t>
              </w:r>
            </w:hyperlink>
          </w:p>
        </w:tc>
      </w:tr>
      <w:tr w:rsidR="008D7953" w:rsidRPr="002F598F" w:rsidTr="004C50B9">
        <w:trPr>
          <w:trHeight w:val="50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  <w:r w:rsidRPr="002F5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 w:rsidRPr="002F5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год </w:t>
            </w: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педагога и наставника»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(Курс лекций от музея им. М.А.Врубеля)« Об </w:t>
            </w: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«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антитеррористической безопасности</w:t>
            </w:r>
            <w:r w:rsidRPr="002F59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(Управление </w:t>
            </w:r>
            <w:proofErr w:type="spellStart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Омской области)</w:t>
            </w:r>
            <w:r w:rsidR="00DB0A60"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"https://www.google.com/url?sa=t&amp;rct=j&amp;q=&amp;esrc=s&amp;source=web&amp;cd=&amp;cad=rja&amp;uact=8&amp;ved=2ahUKEwjGirXa5Yf6AhUB_CoKHf5iC5YQFnoECAsQAQ&amp;url=https%3A%2F%2F2gis.ru%2Fomsk%2Ffirm%2F282003257699591&amp;usg=AOvVaw2MPxHKQZQBlPSyK5VsOpZo" </w:instrText>
            </w:r>
            <w:r w:rsidR="00DB0A60"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</w:p>
          <w:p w:rsidR="008D7953" w:rsidRPr="002F598F" w:rsidRDefault="00DB0A60" w:rsidP="001501D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="008D7953" w:rsidRPr="002F5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Кафедра управления, политики и права</w:t>
              </w:r>
            </w:hyperlink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!», …) (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</w:t>
            </w: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+ всех желающих)</w:t>
            </w:r>
          </w:p>
        </w:tc>
        <w:tc>
          <w:tcPr>
            <w:tcW w:w="3118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психологии, педагогики и социальной работы (</w:t>
            </w: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от организаций «Оказание 1-ой </w:t>
            </w: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помоши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при стрессе»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Омский территориальный центр медицины катастроф</w:t>
            </w:r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</w:t>
            </w: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D7953" w:rsidRPr="002F598F">
                <w:rPr>
                  <w:rFonts w:ascii="Times New Roman" w:hAnsi="Times New Roman" w:cs="Times New Roman"/>
                  <w:sz w:val="24"/>
                  <w:szCs w:val="24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473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научного сообщества «Герменевтический анализ современных художественных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D7953" w:rsidRPr="002F598F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политологии, социально-гуманитарных дисциплин и иностранных </w:t>
              </w:r>
              <w:r w:rsidR="008D7953" w:rsidRPr="002F59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языков</w:t>
              </w:r>
            </w:hyperlink>
            <w:r w:rsidR="008D7953" w:rsidRPr="002F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D7953" w:rsidRPr="002F598F" w:rsidRDefault="008D7953" w:rsidP="008D7953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на март 2023 г.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3261"/>
        <w:gridCol w:w="1985"/>
        <w:gridCol w:w="4394"/>
        <w:gridCol w:w="3118"/>
        <w:gridCol w:w="3261"/>
      </w:tblGrid>
      <w:tr w:rsidR="008D7953" w:rsidRPr="002F598F" w:rsidTr="004C50B9">
        <w:trPr>
          <w:trHeight w:val="219"/>
        </w:trPr>
        <w:tc>
          <w:tcPr>
            <w:tcW w:w="3261" w:type="dxa"/>
            <w:tcBorders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1 марта до 1 июля 2022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эссе по творчеству К.Г. Паустовского,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проводимый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рамках Международного литературного и </w:t>
            </w: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эко-просветительского</w:t>
            </w:r>
            <w:proofErr w:type="spellEnd"/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фестиваля «</w:t>
            </w: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Бунинские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Озерки 2022»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Конкурс (заочно)</w:t>
            </w:r>
          </w:p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 w:rsidR="008D7953" w:rsidRPr="002F5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Кафедра филологии, журналистики и массовых коммуникаций</w:t>
              </w:r>
            </w:hyperlink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Фокус-группа «Как меняется образ России в журналистских публикациях: советский период, 90-е годы XX века, современность».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D7953" w:rsidRPr="002F5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  «Информационно-математические технологии в профессиональной деятельности»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информатики, математики естественнонаучных дисциплин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 w:rsidRPr="002F598F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Конференция «Студенческая весна»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воспитательной деятельности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Беседа «Мои профессиональные качества»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D7953" w:rsidRPr="002F5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D7953" w:rsidRPr="002F598F" w:rsidTr="004C50B9">
        <w:trPr>
          <w:trHeight w:val="550"/>
        </w:trPr>
        <w:tc>
          <w:tcPr>
            <w:tcW w:w="3261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8D7953" w:rsidRPr="002F598F" w:rsidTr="004C50B9">
        <w:trPr>
          <w:trHeight w:val="81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 посвященный женскому дню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132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81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политологии, социально-гуманитарных дисциплин и иностранных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817"/>
        </w:trPr>
        <w:tc>
          <w:tcPr>
            <w:tcW w:w="3261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98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«А ну-ка мальчики и девочки»</w:t>
            </w:r>
          </w:p>
        </w:tc>
        <w:tc>
          <w:tcPr>
            <w:tcW w:w="3118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D7953" w:rsidRPr="002F598F" w:rsidRDefault="008D7953" w:rsidP="008D7953">
      <w:pPr>
        <w:rPr>
          <w:rFonts w:ascii="Times New Roman" w:hAnsi="Times New Roman" w:cs="Times New Roman"/>
          <w:sz w:val="24"/>
          <w:szCs w:val="24"/>
        </w:rPr>
      </w:pPr>
    </w:p>
    <w:p w:rsidR="008D7953" w:rsidRPr="002F598F" w:rsidRDefault="008D7953" w:rsidP="008D7953">
      <w:pPr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br w:type="page"/>
      </w:r>
    </w:p>
    <w:p w:rsidR="008D7953" w:rsidRPr="002F598F" w:rsidRDefault="008D7953" w:rsidP="008D7953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на апрель 2023 г.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3403"/>
        <w:gridCol w:w="1984"/>
        <w:gridCol w:w="4253"/>
        <w:gridCol w:w="2693"/>
        <w:gridCol w:w="3686"/>
      </w:tblGrid>
      <w:tr w:rsidR="008D7953" w:rsidRPr="002F598F" w:rsidTr="004C50B9">
        <w:trPr>
          <w:trHeight w:val="936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953" w:rsidRPr="002F598F" w:rsidTr="004C50B9">
        <w:trPr>
          <w:trHeight w:val="978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978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«Судьбы пореволюционной эмиграции»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8D7953" w:rsidRPr="002F598F" w:rsidTr="004C50B9">
        <w:trPr>
          <w:trHeight w:val="978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Акция  «Знамя победы»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 - диспут «Местное самоуправление – опыт РФ и других стран»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Куруглый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стол, диспут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 – диспут «Инновации в работе с получателями социальных услуг» (выпускники по направлению «Социальная работа»);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работодателем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стол, встреча, диспут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«Чистый город» (конкурс </w:t>
            </w:r>
            <w:r w:rsidRPr="002F5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листовок)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Акция, конкурс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Экономики и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персоналом</w:t>
            </w:r>
          </w:p>
        </w:tc>
      </w:tr>
      <w:tr w:rsidR="008D7953" w:rsidRPr="002F598F" w:rsidTr="004C50B9">
        <w:trPr>
          <w:trHeight w:val="65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D7953" w:rsidRPr="002F598F" w:rsidTr="004C50B9">
        <w:trPr>
          <w:trHeight w:val="65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</w:t>
            </w: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со школьниками г</w:t>
            </w:r>
            <w:proofErr w:type="gram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мска и Омской области (Беседа об обучении в </w:t>
            </w: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ОмГА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информатики, математики и </w:t>
            </w:r>
            <w:proofErr w:type="spellStart"/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8D7953" w:rsidRPr="002F598F" w:rsidTr="004C50B9">
        <w:trPr>
          <w:trHeight w:val="65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Лекции посвященные «Дню единых действий»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управления, политики и права</w:t>
            </w:r>
          </w:p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и структура Омского городского Совета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Омский городской Совет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«Посещение музея Администрации города Омска»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Calibri" w:hAnsi="Times New Roman" w:cs="Times New Roman"/>
                <w:sz w:val="24"/>
                <w:szCs w:val="24"/>
              </w:rPr>
              <w:t>Музей Администрации города Омска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психологии, педагогики и социальной работы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Тренинг «Думай как</w:t>
            </w:r>
            <w:r w:rsidRPr="002F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HR»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центр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15 сентября 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«Диалог с окружающим миром: нарисуй, покажи, расскажи»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(заочно)</w:t>
            </w:r>
          </w:p>
        </w:tc>
        <w:tc>
          <w:tcPr>
            <w:tcW w:w="3686" w:type="dxa"/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D7953" w:rsidRPr="002F5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4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693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психологии, педагогики и социальной работы</w:t>
            </w:r>
          </w:p>
        </w:tc>
      </w:tr>
      <w:tr w:rsidR="008D7953" w:rsidRPr="002F598F" w:rsidTr="004C50B9">
        <w:trPr>
          <w:trHeight w:val="1012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политологии, социально-гуманитарных дисциплин и иностранных языков,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D7953" w:rsidRPr="002F598F" w:rsidRDefault="008D7953" w:rsidP="008D7953">
      <w:pPr>
        <w:rPr>
          <w:rFonts w:ascii="Times New Roman" w:hAnsi="Times New Roman" w:cs="Times New Roman"/>
          <w:sz w:val="24"/>
          <w:szCs w:val="24"/>
        </w:rPr>
      </w:pPr>
    </w:p>
    <w:p w:rsidR="008D7953" w:rsidRPr="002F598F" w:rsidRDefault="008D7953" w:rsidP="008D7953">
      <w:pPr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br w:type="page"/>
      </w:r>
    </w:p>
    <w:p w:rsidR="008D7953" w:rsidRPr="002F598F" w:rsidRDefault="008D7953" w:rsidP="008D7953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на май 2023 г.</w:t>
      </w:r>
    </w:p>
    <w:tbl>
      <w:tblPr>
        <w:tblStyle w:val="a4"/>
        <w:tblW w:w="16019" w:type="dxa"/>
        <w:tblInd w:w="-176" w:type="dxa"/>
        <w:tblLook w:val="04A0"/>
      </w:tblPr>
      <w:tblGrid>
        <w:gridCol w:w="3403"/>
        <w:gridCol w:w="1984"/>
        <w:gridCol w:w="4281"/>
        <w:gridCol w:w="2665"/>
        <w:gridCol w:w="3686"/>
      </w:tblGrid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«Комплексный анализ и оценка эффективности бизнеса»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Лекции «История Великой Отечественной Войны»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политологии, социально-гуманитарных дисциплин и иностранных языков,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Акции «Сад памяти»; «ЖУРАВЛИ»; «Свеча памяти»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507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Участие в «Бессмертном полку» и в оцеплении в рамках «Парада победы»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политики и воспитательной деятельности;</w:t>
            </w: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Командир дружины «Стрела»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Выездное патриотическое мероприятие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политики и воспитательной деятельности</w:t>
            </w: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8D7953" w:rsidRPr="002F598F" w:rsidTr="004C50B9">
        <w:trPr>
          <w:trHeight w:val="473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Видео-флеш-моб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филологии, журналистики и массовых коммуникаций</w:t>
            </w:r>
          </w:p>
        </w:tc>
      </w:tr>
      <w:tr w:rsidR="008D7953" w:rsidRPr="002F598F" w:rsidTr="004C50B9">
        <w:trPr>
          <w:trHeight w:val="1012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социальной рекламы «Ступени Победы» (плакат, радиообращение)</w:t>
            </w:r>
          </w:p>
        </w:tc>
        <w:tc>
          <w:tcPr>
            <w:tcW w:w="266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D7953" w:rsidRPr="002F598F" w:rsidTr="004C50B9">
        <w:trPr>
          <w:trHeight w:val="1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</w:t>
            </w: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со школьниками г</w:t>
            </w:r>
            <w:proofErr w:type="gram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мска и Омской области (Беседа об обучении в </w:t>
            </w: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ОмГА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информатики, математики и естественнонаучных дисциплин</w:t>
            </w:r>
          </w:p>
        </w:tc>
      </w:tr>
      <w:tr w:rsidR="008D7953" w:rsidRPr="002F598F" w:rsidTr="004C50B9">
        <w:trPr>
          <w:trHeight w:val="1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им. М.А. Врубеля по эстетическому воспитанию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психологии, педагогики и социальной работы</w:t>
            </w:r>
          </w:p>
        </w:tc>
      </w:tr>
      <w:tr w:rsidR="008D7953" w:rsidRPr="002F598F" w:rsidTr="004C50B9">
        <w:trPr>
          <w:trHeight w:val="1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педагогики психологии и социальной работы,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1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«Общегородской субботник»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8D7953" w:rsidRPr="002F598F" w:rsidTr="004C50B9">
        <w:trPr>
          <w:trHeight w:val="16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политологии, социально-гуманитарных дисциплин и иностранных языков,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D7953" w:rsidRPr="002F598F" w:rsidRDefault="008D7953" w:rsidP="008D7953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2F598F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на июнь 2023 г.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3403"/>
        <w:gridCol w:w="1905"/>
        <w:gridCol w:w="4315"/>
        <w:gridCol w:w="2710"/>
        <w:gridCol w:w="3686"/>
      </w:tblGrid>
      <w:tr w:rsidR="008D7953" w:rsidRPr="002F598F" w:rsidTr="004C50B9">
        <w:trPr>
          <w:trHeight w:val="524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190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431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10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953" w:rsidRPr="002F598F" w:rsidTr="004C50B9">
        <w:trPr>
          <w:trHeight w:val="524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0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15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«Торжественное вручение дипломов»</w:t>
            </w:r>
          </w:p>
        </w:tc>
        <w:tc>
          <w:tcPr>
            <w:tcW w:w="2710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D7953" w:rsidRPr="002F598F" w:rsidTr="004C50B9">
        <w:trPr>
          <w:trHeight w:val="524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0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1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 – диспут «Моделирование бизнес-процессов, как основа создания информационных систем в социально-экономической сфере»</w:t>
            </w:r>
          </w:p>
        </w:tc>
        <w:tc>
          <w:tcPr>
            <w:tcW w:w="2710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Круглый стол – диспут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информатики, математики и естественнонаучных дисциплин</w:t>
            </w:r>
          </w:p>
        </w:tc>
      </w:tr>
      <w:tr w:rsidR="008D7953" w:rsidRPr="002F598F" w:rsidTr="004C50B9">
        <w:trPr>
          <w:trHeight w:val="524"/>
        </w:trPr>
        <w:tc>
          <w:tcPr>
            <w:tcW w:w="3403" w:type="dxa"/>
          </w:tcPr>
          <w:p w:rsidR="008D7953" w:rsidRPr="002F598F" w:rsidRDefault="008D7953" w:rsidP="001501DE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0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1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Конкурс  «Алый парус – Открытые горизонты»</w:t>
            </w:r>
          </w:p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6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филологии, журналистики и массовых коммуникаций, АО «ИД «</w:t>
            </w:r>
            <w:proofErr w:type="gram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8D7953" w:rsidRPr="002F598F" w:rsidTr="004C50B9">
        <w:trPr>
          <w:trHeight w:val="1600"/>
        </w:trPr>
        <w:tc>
          <w:tcPr>
            <w:tcW w:w="3403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05" w:type="dxa"/>
            <w:vAlign w:val="center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15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Проведение лекций в рамках «</w:t>
            </w:r>
            <w:proofErr w:type="spellStart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2F598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710" w:type="dxa"/>
            <w:vAlign w:val="center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6" w:type="dxa"/>
            <w:vAlign w:val="center"/>
          </w:tcPr>
          <w:p w:rsidR="008D7953" w:rsidRPr="002F598F" w:rsidRDefault="008D7953" w:rsidP="001501D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 w:rsidRPr="002F5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953" w:rsidRPr="002F598F" w:rsidTr="004C50B9">
        <w:trPr>
          <w:trHeight w:val="1600"/>
        </w:trPr>
        <w:tc>
          <w:tcPr>
            <w:tcW w:w="3403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05" w:type="dxa"/>
          </w:tcPr>
          <w:p w:rsidR="008D7953" w:rsidRPr="002F598F" w:rsidRDefault="008D7953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15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Заседание историко-философского общества</w:t>
            </w:r>
          </w:p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D7953" w:rsidRPr="002F598F" w:rsidRDefault="008D7953" w:rsidP="001501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9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686" w:type="dxa"/>
          </w:tcPr>
          <w:p w:rsidR="008D7953" w:rsidRPr="002F598F" w:rsidRDefault="00DB0A60" w:rsidP="001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D7953" w:rsidRPr="002F598F">
                <w:rPr>
                  <w:rFonts w:ascii="Times New Roman" w:hAnsi="Times New Roman" w:cs="Times New Roman"/>
                  <w:sz w:val="24"/>
                  <w:szCs w:val="24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C85A07" w:rsidRPr="00305EE9" w:rsidRDefault="00C85A07" w:rsidP="00305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5A07" w:rsidRPr="00305EE9" w:rsidSect="008D7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649"/>
    <w:multiLevelType w:val="hybridMultilevel"/>
    <w:tmpl w:val="9E605A3E"/>
    <w:lvl w:ilvl="0" w:tplc="73D2B436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76497A">
      <w:numFmt w:val="bullet"/>
      <w:lvlText w:val="•"/>
      <w:lvlJc w:val="left"/>
      <w:pPr>
        <w:ind w:left="1046" w:hanging="200"/>
      </w:pPr>
      <w:rPr>
        <w:lang w:val="ru-RU" w:eastAsia="en-US" w:bidi="ar-SA"/>
      </w:rPr>
    </w:lvl>
    <w:lvl w:ilvl="2" w:tplc="203E35C0">
      <w:numFmt w:val="bullet"/>
      <w:lvlText w:val="•"/>
      <w:lvlJc w:val="left"/>
      <w:pPr>
        <w:ind w:left="1993" w:hanging="200"/>
      </w:pPr>
      <w:rPr>
        <w:lang w:val="ru-RU" w:eastAsia="en-US" w:bidi="ar-SA"/>
      </w:rPr>
    </w:lvl>
    <w:lvl w:ilvl="3" w:tplc="7B700338">
      <w:numFmt w:val="bullet"/>
      <w:lvlText w:val="•"/>
      <w:lvlJc w:val="left"/>
      <w:pPr>
        <w:ind w:left="2939" w:hanging="200"/>
      </w:pPr>
      <w:rPr>
        <w:lang w:val="ru-RU" w:eastAsia="en-US" w:bidi="ar-SA"/>
      </w:rPr>
    </w:lvl>
    <w:lvl w:ilvl="4" w:tplc="CDA48D12">
      <w:numFmt w:val="bullet"/>
      <w:lvlText w:val="•"/>
      <w:lvlJc w:val="left"/>
      <w:pPr>
        <w:ind w:left="3886" w:hanging="200"/>
      </w:pPr>
      <w:rPr>
        <w:lang w:val="ru-RU" w:eastAsia="en-US" w:bidi="ar-SA"/>
      </w:rPr>
    </w:lvl>
    <w:lvl w:ilvl="5" w:tplc="7D7C8D74">
      <w:numFmt w:val="bullet"/>
      <w:lvlText w:val="•"/>
      <w:lvlJc w:val="left"/>
      <w:pPr>
        <w:ind w:left="4833" w:hanging="200"/>
      </w:pPr>
      <w:rPr>
        <w:lang w:val="ru-RU" w:eastAsia="en-US" w:bidi="ar-SA"/>
      </w:rPr>
    </w:lvl>
    <w:lvl w:ilvl="6" w:tplc="0ED6AA8A">
      <w:numFmt w:val="bullet"/>
      <w:lvlText w:val="•"/>
      <w:lvlJc w:val="left"/>
      <w:pPr>
        <w:ind w:left="5779" w:hanging="200"/>
      </w:pPr>
      <w:rPr>
        <w:lang w:val="ru-RU" w:eastAsia="en-US" w:bidi="ar-SA"/>
      </w:rPr>
    </w:lvl>
    <w:lvl w:ilvl="7" w:tplc="EA8A4E34">
      <w:numFmt w:val="bullet"/>
      <w:lvlText w:val="•"/>
      <w:lvlJc w:val="left"/>
      <w:pPr>
        <w:ind w:left="6726" w:hanging="200"/>
      </w:pPr>
      <w:rPr>
        <w:lang w:val="ru-RU" w:eastAsia="en-US" w:bidi="ar-SA"/>
      </w:rPr>
    </w:lvl>
    <w:lvl w:ilvl="8" w:tplc="7572F374">
      <w:numFmt w:val="bullet"/>
      <w:lvlText w:val="•"/>
      <w:lvlJc w:val="left"/>
      <w:pPr>
        <w:ind w:left="7673" w:hanging="200"/>
      </w:pPr>
      <w:rPr>
        <w:lang w:val="ru-RU" w:eastAsia="en-US" w:bidi="ar-SA"/>
      </w:rPr>
    </w:lvl>
  </w:abstractNum>
  <w:abstractNum w:abstractNumId="1">
    <w:nsid w:val="41C3213D"/>
    <w:multiLevelType w:val="hybridMultilevel"/>
    <w:tmpl w:val="EF90FA56"/>
    <w:lvl w:ilvl="0" w:tplc="790A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D5452"/>
    <w:multiLevelType w:val="hybridMultilevel"/>
    <w:tmpl w:val="149293FC"/>
    <w:lvl w:ilvl="0" w:tplc="9932BC3E">
      <w:numFmt w:val="bullet"/>
      <w:lvlText w:val="-"/>
      <w:lvlJc w:val="left"/>
      <w:pPr>
        <w:ind w:left="286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D0A7BA">
      <w:numFmt w:val="bullet"/>
      <w:lvlText w:val="-"/>
      <w:lvlJc w:val="left"/>
      <w:pPr>
        <w:ind w:left="81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8664C5C">
      <w:numFmt w:val="bullet"/>
      <w:lvlText w:val="•"/>
      <w:lvlJc w:val="left"/>
      <w:pPr>
        <w:ind w:left="1880" w:hanging="129"/>
      </w:pPr>
      <w:rPr>
        <w:lang w:val="ru-RU" w:eastAsia="en-US" w:bidi="ar-SA"/>
      </w:rPr>
    </w:lvl>
    <w:lvl w:ilvl="3" w:tplc="C6703D0C">
      <w:numFmt w:val="bullet"/>
      <w:lvlText w:val="•"/>
      <w:lvlJc w:val="left"/>
      <w:pPr>
        <w:ind w:left="2941" w:hanging="129"/>
      </w:pPr>
      <w:rPr>
        <w:lang w:val="ru-RU" w:eastAsia="en-US" w:bidi="ar-SA"/>
      </w:rPr>
    </w:lvl>
    <w:lvl w:ilvl="4" w:tplc="41B88968">
      <w:numFmt w:val="bullet"/>
      <w:lvlText w:val="•"/>
      <w:lvlJc w:val="left"/>
      <w:pPr>
        <w:ind w:left="4002" w:hanging="129"/>
      </w:pPr>
      <w:rPr>
        <w:lang w:val="ru-RU" w:eastAsia="en-US" w:bidi="ar-SA"/>
      </w:rPr>
    </w:lvl>
    <w:lvl w:ilvl="5" w:tplc="BD54EE12">
      <w:numFmt w:val="bullet"/>
      <w:lvlText w:val="•"/>
      <w:lvlJc w:val="left"/>
      <w:pPr>
        <w:ind w:left="5063" w:hanging="129"/>
      </w:pPr>
      <w:rPr>
        <w:lang w:val="ru-RU" w:eastAsia="en-US" w:bidi="ar-SA"/>
      </w:rPr>
    </w:lvl>
    <w:lvl w:ilvl="6" w:tplc="D8ACE57E">
      <w:numFmt w:val="bullet"/>
      <w:lvlText w:val="•"/>
      <w:lvlJc w:val="left"/>
      <w:pPr>
        <w:ind w:left="6123" w:hanging="129"/>
      </w:pPr>
      <w:rPr>
        <w:lang w:val="ru-RU" w:eastAsia="en-US" w:bidi="ar-SA"/>
      </w:rPr>
    </w:lvl>
    <w:lvl w:ilvl="7" w:tplc="C7940948">
      <w:numFmt w:val="bullet"/>
      <w:lvlText w:val="•"/>
      <w:lvlJc w:val="left"/>
      <w:pPr>
        <w:ind w:left="7184" w:hanging="129"/>
      </w:pPr>
      <w:rPr>
        <w:lang w:val="ru-RU" w:eastAsia="en-US" w:bidi="ar-SA"/>
      </w:rPr>
    </w:lvl>
    <w:lvl w:ilvl="8" w:tplc="62F6D3E2">
      <w:numFmt w:val="bullet"/>
      <w:lvlText w:val="•"/>
      <w:lvlJc w:val="left"/>
      <w:pPr>
        <w:ind w:left="8245" w:hanging="129"/>
      </w:pPr>
      <w:rPr>
        <w:lang w:val="ru-RU" w:eastAsia="en-US" w:bidi="ar-SA"/>
      </w:rPr>
    </w:lvl>
  </w:abstractNum>
  <w:abstractNum w:abstractNumId="3">
    <w:nsid w:val="71424D03"/>
    <w:multiLevelType w:val="hybridMultilevel"/>
    <w:tmpl w:val="411AF6D2"/>
    <w:lvl w:ilvl="0" w:tplc="61BA9870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70CF18">
      <w:numFmt w:val="bullet"/>
      <w:lvlText w:val="•"/>
      <w:lvlJc w:val="left"/>
      <w:pPr>
        <w:ind w:left="1046" w:hanging="207"/>
      </w:pPr>
      <w:rPr>
        <w:lang w:val="ru-RU" w:eastAsia="en-US" w:bidi="ar-SA"/>
      </w:rPr>
    </w:lvl>
    <w:lvl w:ilvl="2" w:tplc="8A0A0C82">
      <w:numFmt w:val="bullet"/>
      <w:lvlText w:val="•"/>
      <w:lvlJc w:val="left"/>
      <w:pPr>
        <w:ind w:left="1993" w:hanging="207"/>
      </w:pPr>
      <w:rPr>
        <w:lang w:val="ru-RU" w:eastAsia="en-US" w:bidi="ar-SA"/>
      </w:rPr>
    </w:lvl>
    <w:lvl w:ilvl="3" w:tplc="14B83AD6">
      <w:numFmt w:val="bullet"/>
      <w:lvlText w:val="•"/>
      <w:lvlJc w:val="left"/>
      <w:pPr>
        <w:ind w:left="2939" w:hanging="207"/>
      </w:pPr>
      <w:rPr>
        <w:lang w:val="ru-RU" w:eastAsia="en-US" w:bidi="ar-SA"/>
      </w:rPr>
    </w:lvl>
    <w:lvl w:ilvl="4" w:tplc="8CC6087E">
      <w:numFmt w:val="bullet"/>
      <w:lvlText w:val="•"/>
      <w:lvlJc w:val="left"/>
      <w:pPr>
        <w:ind w:left="3886" w:hanging="207"/>
      </w:pPr>
      <w:rPr>
        <w:lang w:val="ru-RU" w:eastAsia="en-US" w:bidi="ar-SA"/>
      </w:rPr>
    </w:lvl>
    <w:lvl w:ilvl="5" w:tplc="3D320550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6" w:tplc="3DAE8E76">
      <w:numFmt w:val="bullet"/>
      <w:lvlText w:val="•"/>
      <w:lvlJc w:val="left"/>
      <w:pPr>
        <w:ind w:left="5779" w:hanging="207"/>
      </w:pPr>
      <w:rPr>
        <w:lang w:val="ru-RU" w:eastAsia="en-US" w:bidi="ar-SA"/>
      </w:rPr>
    </w:lvl>
    <w:lvl w:ilvl="7" w:tplc="E0C6872E">
      <w:numFmt w:val="bullet"/>
      <w:lvlText w:val="•"/>
      <w:lvlJc w:val="left"/>
      <w:pPr>
        <w:ind w:left="6726" w:hanging="207"/>
      </w:pPr>
      <w:rPr>
        <w:lang w:val="ru-RU" w:eastAsia="en-US" w:bidi="ar-SA"/>
      </w:rPr>
    </w:lvl>
    <w:lvl w:ilvl="8" w:tplc="7B249986">
      <w:numFmt w:val="bullet"/>
      <w:lvlText w:val="•"/>
      <w:lvlJc w:val="left"/>
      <w:pPr>
        <w:ind w:left="7673" w:hanging="207"/>
      </w:pPr>
      <w:rPr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A07"/>
    <w:rsid w:val="0007651C"/>
    <w:rsid w:val="00093602"/>
    <w:rsid w:val="000B42C5"/>
    <w:rsid w:val="000B7D80"/>
    <w:rsid w:val="0010693D"/>
    <w:rsid w:val="001217C3"/>
    <w:rsid w:val="001501DE"/>
    <w:rsid w:val="001B7211"/>
    <w:rsid w:val="002F0B44"/>
    <w:rsid w:val="00305EE9"/>
    <w:rsid w:val="00373CBF"/>
    <w:rsid w:val="003939E7"/>
    <w:rsid w:val="003C151C"/>
    <w:rsid w:val="003D4D48"/>
    <w:rsid w:val="004026E5"/>
    <w:rsid w:val="004362F5"/>
    <w:rsid w:val="00481D6B"/>
    <w:rsid w:val="004A3F2B"/>
    <w:rsid w:val="004B2D00"/>
    <w:rsid w:val="004C50B9"/>
    <w:rsid w:val="004F5D20"/>
    <w:rsid w:val="00500E74"/>
    <w:rsid w:val="00520997"/>
    <w:rsid w:val="00630663"/>
    <w:rsid w:val="00637FC9"/>
    <w:rsid w:val="006528FA"/>
    <w:rsid w:val="006979B5"/>
    <w:rsid w:val="006A0799"/>
    <w:rsid w:val="006C50B3"/>
    <w:rsid w:val="006D6399"/>
    <w:rsid w:val="006D7490"/>
    <w:rsid w:val="006F4694"/>
    <w:rsid w:val="007237DE"/>
    <w:rsid w:val="00821921"/>
    <w:rsid w:val="00835E04"/>
    <w:rsid w:val="008718CA"/>
    <w:rsid w:val="00872FCD"/>
    <w:rsid w:val="008A0B96"/>
    <w:rsid w:val="008A12B9"/>
    <w:rsid w:val="008C1DC7"/>
    <w:rsid w:val="008C4241"/>
    <w:rsid w:val="008D1E62"/>
    <w:rsid w:val="008D7953"/>
    <w:rsid w:val="0090639A"/>
    <w:rsid w:val="0094088B"/>
    <w:rsid w:val="009465F9"/>
    <w:rsid w:val="009C554F"/>
    <w:rsid w:val="00A50A66"/>
    <w:rsid w:val="00A52C91"/>
    <w:rsid w:val="00AC7169"/>
    <w:rsid w:val="00B33127"/>
    <w:rsid w:val="00BB2671"/>
    <w:rsid w:val="00C55F53"/>
    <w:rsid w:val="00C65C1D"/>
    <w:rsid w:val="00C76BE5"/>
    <w:rsid w:val="00C85A07"/>
    <w:rsid w:val="00D20D0F"/>
    <w:rsid w:val="00DA73E7"/>
    <w:rsid w:val="00DB0A60"/>
    <w:rsid w:val="00DB6154"/>
    <w:rsid w:val="00E20DD4"/>
    <w:rsid w:val="00E217A9"/>
    <w:rsid w:val="00E25D52"/>
    <w:rsid w:val="00E46CC5"/>
    <w:rsid w:val="00EE7DFE"/>
    <w:rsid w:val="00EF37F3"/>
    <w:rsid w:val="00F07DAD"/>
    <w:rsid w:val="00F16651"/>
    <w:rsid w:val="00F272A5"/>
    <w:rsid w:val="00F52ADD"/>
    <w:rsid w:val="00FC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E20DD4"/>
    <w:pPr>
      <w:widowControl w:val="0"/>
      <w:autoSpaceDE w:val="0"/>
      <w:autoSpaceDN w:val="0"/>
      <w:spacing w:after="0" w:line="240" w:lineRule="auto"/>
      <w:ind w:left="313" w:right="31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E20DD4"/>
    <w:pPr>
      <w:widowControl w:val="0"/>
      <w:autoSpaceDE w:val="0"/>
      <w:autoSpaceDN w:val="0"/>
      <w:spacing w:before="211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5A07"/>
    <w:pPr>
      <w:ind w:left="720"/>
      <w:contextualSpacing/>
    </w:pPr>
  </w:style>
  <w:style w:type="character" w:customStyle="1" w:styleId="extendedtext-short">
    <w:name w:val="extendedtext-short"/>
    <w:basedOn w:val="a0"/>
    <w:rsid w:val="00C85A07"/>
  </w:style>
  <w:style w:type="table" w:styleId="a4">
    <w:name w:val="Table Grid"/>
    <w:basedOn w:val="a1"/>
    <w:uiPriority w:val="59"/>
    <w:rsid w:val="00C85A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20DD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E20D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E20DD4"/>
    <w:pPr>
      <w:widowControl w:val="0"/>
      <w:autoSpaceDE w:val="0"/>
      <w:autoSpaceDN w:val="0"/>
      <w:spacing w:before="51"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E20DD4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8D7953"/>
    <w:rPr>
      <w:i/>
      <w:iCs/>
    </w:rPr>
  </w:style>
  <w:style w:type="paragraph" w:styleId="a8">
    <w:name w:val="Normal (Web)"/>
    <w:basedOn w:val="a"/>
    <w:uiPriority w:val="99"/>
    <w:unhideWhenUsed/>
    <w:rsid w:val="008D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a-info.ru/about_the_university/organization/upp/" TargetMode="External"/><Relationship Id="rId13" Type="http://schemas.openxmlformats.org/officeDocument/2006/relationships/hyperlink" Target="http://www.omga-info.ru/about_the_university/organization/tp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ga-info.ru/about_the_university/organization/tpj" TargetMode="External"/><Relationship Id="rId12" Type="http://schemas.openxmlformats.org/officeDocument/2006/relationships/hyperlink" Target="http://www.omga-info.ru/about_the_university/organization/tp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mga-info.ru/about_the_university/organization/sgd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ga-info.ru/about_the_university/organization/sgdiy" TargetMode="External"/><Relationship Id="rId11" Type="http://schemas.openxmlformats.org/officeDocument/2006/relationships/hyperlink" Target="http://www.omga-info.ru/about_the_university/organization/sgdiy" TargetMode="External"/><Relationship Id="rId5" Type="http://schemas.openxmlformats.org/officeDocument/2006/relationships/hyperlink" Target="http://www.omga-info.ru/about_the_university/organization/sgdiy" TargetMode="External"/><Relationship Id="rId15" Type="http://schemas.openxmlformats.org/officeDocument/2006/relationships/hyperlink" Target="http://www.omga-info.ru/about_the_university/organization/tpj" TargetMode="External"/><Relationship Id="rId10" Type="http://schemas.openxmlformats.org/officeDocument/2006/relationships/hyperlink" Target="http://www.omga-info.ru/about_the_university/organization/sgd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ga-info.ru/about_the_university/organization/upp/" TargetMode="External"/><Relationship Id="rId14" Type="http://schemas.openxmlformats.org/officeDocument/2006/relationships/hyperlink" Target="http://www.omga-info.ru/about_the_university/organization/t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ppsr-01</dc:creator>
  <cp:lastModifiedBy>sef-03</cp:lastModifiedBy>
  <cp:revision>22</cp:revision>
  <cp:lastPrinted>2023-02-28T08:03:00Z</cp:lastPrinted>
  <dcterms:created xsi:type="dcterms:W3CDTF">2021-08-26T08:18:00Z</dcterms:created>
  <dcterms:modified xsi:type="dcterms:W3CDTF">2023-03-01T09:52:00Z</dcterms:modified>
</cp:coreProperties>
</file>